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октября 2013 г. N 544н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ПРОФЕССИОНАЛЬНОГО СТАНДАРТА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4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"ПЕДАГОГ (ПЕДАГОГИЧЕСКАЯ ДЕЯТЕЛЬНОСТЬ В СФЕРЕ ДОШКОЛЬНОГО,</w:t>
      </w:r>
      <w:proofErr w:type="gramEnd"/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 ОБЩЕГО, ОСНОВНОГО ОБЩЕГО, СРЕДНЕГО ОБЩЕГО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4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ОБРАЗОВАНИЯ) (ВОСПИТАТЕЛЬ, УЧИТЕЛЬ)"</w:t>
      </w:r>
      <w:proofErr w:type="gramEnd"/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proofErr w:type="spellStart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внесенными</w:t>
      </w:r>
      <w:proofErr w:type="gramEnd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Минтруда России от 25.12.2014 N 1115н)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5"/>
      <w:bookmarkEnd w:id="0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труда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октября 2013 г. N 544н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6" w:rsidRDefault="00333A26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1"/>
      <w:bookmarkEnd w:id="1"/>
    </w:p>
    <w:p w:rsidR="00333A26" w:rsidRDefault="00333A26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A26" w:rsidRDefault="00333A26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A26" w:rsidRDefault="00333A26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A26" w:rsidRDefault="00333A26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A26" w:rsidRDefault="00333A26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ПРОФЕССИОНАЛЬНЫЙ СТАНДАРТ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4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(ПЕДАГОГИЧЕСКАЯ ДЕЯТЕЛЬНОСТЬ В ДОШКОЛЬНОМ, НАЧАЛЬНОМ ОБЩЕМ,</w:t>
      </w:r>
      <w:proofErr w:type="gramEnd"/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4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ОСНОВНОМ ОБЩЕМ, СРЕДНЕМ ОБЩЕМ ОБРАЗОВАНИИ)</w:t>
      </w:r>
      <w:proofErr w:type="gramEnd"/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(ВОСПИТАТЕЛЬ, УЧИТЕЛЬ)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┌────────────────┐</w:t>
      </w: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│ 1 │</w:t>
      </w: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└────────────────┘</w:t>
      </w: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</w:t>
      </w: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4"/>
      <w:bookmarkEnd w:id="2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сведения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┌──────────┐</w:t>
      </w: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Дошкольное образование │ </w:t>
      </w:r>
      <w:proofErr w:type="spellStart"/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Начальное общее образование │ </w:t>
      </w:r>
      <w:proofErr w:type="spellStart"/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Основное общее образование │ 01.001 │</w:t>
      </w: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Среднее общее образование │ </w:t>
      </w:r>
      <w:proofErr w:type="spellStart"/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 └──────────┘</w:t>
      </w: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вида профессиональной деятельности) Код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│Оказание</w:t>
      </w:r>
      <w:proofErr w:type="spellEnd"/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услуг по основным общеобразовательным </w:t>
      </w:r>
      <w:proofErr w:type="spellStart"/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программам│</w:t>
      </w:r>
      <w:proofErr w:type="spellEnd"/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│образовательными</w:t>
      </w:r>
      <w:proofErr w:type="spellEnd"/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организациями (организациями, осуществляющими обучение) │</w:t>
      </w: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C4831" w:rsidRPr="00EC4831" w:rsidRDefault="00EC4831" w:rsidP="00EC483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EC4831" w:rsidRPr="00EC4831" w:rsidSect="00333A26">
          <w:footnotePr>
            <w:numFmt w:val="chicago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14"/>
        <w:gridCol w:w="3150"/>
        <w:gridCol w:w="1469"/>
        <w:gridCol w:w="3406"/>
      </w:tblGrid>
      <w:tr w:rsidR="00EC4831" w:rsidRPr="00EC4831" w:rsidTr="00EC483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EC4831" w:rsidRPr="00EC4831" w:rsidTr="00EC483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EC4831" w:rsidRPr="00EC4831" w:rsidTr="00EC483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831" w:rsidRPr="00EC4831" w:rsidTr="00EC4831"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 &lt;1&gt;)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20"/>
        <w:gridCol w:w="7985"/>
      </w:tblGrid>
      <w:tr w:rsidR="00EC4831" w:rsidRPr="00EC4831" w:rsidTr="00EC483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EC4831" w:rsidRPr="00EC4831" w:rsidTr="00EC483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EC4831" w:rsidRPr="00EC4831" w:rsidTr="00EC4831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КВЭД &lt;2&gt;)</w:t>
            </w:r>
          </w:p>
        </w:tc>
        <w:tc>
          <w:tcPr>
            <w:tcW w:w="79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89"/>
      <w:bookmarkEnd w:id="3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Описание трудовых функций, входящих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профессиональный стандарт (функциональная карта вида</w:t>
      </w:r>
      <w:proofErr w:type="gramEnd"/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деятельности)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8"/>
        <w:gridCol w:w="2804"/>
        <w:gridCol w:w="1988"/>
        <w:gridCol w:w="2743"/>
        <w:gridCol w:w="1142"/>
        <w:gridCol w:w="2005"/>
      </w:tblGrid>
      <w:tr w:rsidR="00EC4831" w:rsidRPr="00EC4831" w:rsidTr="00EC4831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EC4831" w:rsidRPr="00EC4831" w:rsidTr="00EC483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EC4831" w:rsidRPr="00EC4831" w:rsidTr="00EC4831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4831" w:rsidRPr="00EC4831" w:rsidTr="00EC4831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4831" w:rsidRPr="00EC4831" w:rsidTr="00EC4831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4831" w:rsidRPr="00EC4831" w:rsidTr="00EC4831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4831" w:rsidRPr="00EC4831" w:rsidTr="00EC4831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4831" w:rsidRPr="00EC4831" w:rsidTr="00EC4831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4831" w:rsidRPr="00EC4831" w:rsidTr="00EC4831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4831" w:rsidRPr="00EC4831" w:rsidTr="00EC4831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32"/>
      <w:bookmarkEnd w:id="4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обобщенных трудовых функций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34"/>
      <w:bookmarkEnd w:id="5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Обобщенная трудовая функция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28"/>
        <w:gridCol w:w="4203"/>
        <w:gridCol w:w="671"/>
        <w:gridCol w:w="648"/>
        <w:gridCol w:w="1714"/>
        <w:gridCol w:w="675"/>
      </w:tblGrid>
      <w:tr w:rsidR="00EC4831" w:rsidRPr="00EC4831" w:rsidTr="00EC4831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30"/>
        <w:gridCol w:w="1498"/>
        <w:gridCol w:w="616"/>
        <w:gridCol w:w="1973"/>
        <w:gridCol w:w="1442"/>
        <w:gridCol w:w="1876"/>
      </w:tblGrid>
      <w:tr w:rsidR="00EC4831" w:rsidRPr="00EC4831" w:rsidTr="00EC4831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9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831" w:rsidRPr="00EC4831" w:rsidTr="00EC4831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номер профессионального стандарта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82"/>
        <w:gridCol w:w="7157"/>
      </w:tblGrid>
      <w:tr w:rsidR="00EC4831" w:rsidRPr="00EC4831" w:rsidTr="00EC4831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61"/>
        <w:gridCol w:w="7174"/>
      </w:tblGrid>
      <w:tr w:rsidR="00EC4831" w:rsidRPr="00EC4831" w:rsidTr="00EC483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EC4831" w:rsidRPr="00EC4831" w:rsidTr="00EC483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EC4831" w:rsidRPr="00EC4831" w:rsidTr="00EC483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признанные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имеющие заболевания, предусмотренные установленным перечнем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68"/>
      <w:bookmarkEnd w:id="6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63"/>
        <w:gridCol w:w="1330"/>
        <w:gridCol w:w="5242"/>
      </w:tblGrid>
      <w:tr w:rsidR="00EC4831" w:rsidRPr="00EC4831" w:rsidTr="00EC483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C4831" w:rsidRPr="00EC4831" w:rsidTr="00EC4831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EC4831" w:rsidRPr="00EC4831" w:rsidTr="00EC4831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EC4831" w:rsidRPr="00EC4831" w:rsidTr="00EC4831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EC4831" w:rsidRPr="00EC4831" w:rsidTr="00EC4831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EC4831" w:rsidRPr="00EC4831" w:rsidTr="00EC4831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EC4831" w:rsidRPr="00EC4831" w:rsidTr="00EC483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&lt;3&gt;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C4831" w:rsidRPr="00EC4831" w:rsidTr="00EC483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 &lt;4&gt;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92"/>
      <w:bookmarkEnd w:id="7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Трудовая функция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26"/>
        <w:gridCol w:w="3416"/>
        <w:gridCol w:w="713"/>
        <w:gridCol w:w="1064"/>
        <w:gridCol w:w="2030"/>
        <w:gridCol w:w="686"/>
      </w:tblGrid>
      <w:tr w:rsidR="00EC4831" w:rsidRPr="00EC4831" w:rsidTr="00EC4831"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Общепедагогическая функция.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30"/>
        <w:gridCol w:w="1484"/>
        <w:gridCol w:w="630"/>
        <w:gridCol w:w="1973"/>
        <w:gridCol w:w="1442"/>
        <w:gridCol w:w="1876"/>
      </w:tblGrid>
      <w:tr w:rsidR="00EC4831" w:rsidRPr="00EC4831" w:rsidTr="00EC4831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831" w:rsidRPr="00EC4831" w:rsidTr="00EC4831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48"/>
        <w:gridCol w:w="7673"/>
      </w:tblGrid>
      <w:tr w:rsidR="00EC4831" w:rsidRPr="00EC4831" w:rsidTr="00EC4831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осуществление контроля и оценки учебных достижений,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текущих и итоговых результатов освоения основной образовательной программы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C4831" w:rsidRPr="00EC4831" w:rsidTr="00EC4831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proofErr w:type="spellStart"/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ИКТ-компетентностями</w:t>
            </w:r>
            <w:proofErr w:type="spellEnd"/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общепользовательская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предметно-педагогическая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различные виды внеурочной деятельности: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игровую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учебно-исследовательскую, художественно-продуктивную,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культурно-досуговую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EC4831" w:rsidRPr="00EC4831" w:rsidTr="00EC4831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и методика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данному предмету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</w:tc>
      </w:tr>
      <w:tr w:rsidR="00EC4831" w:rsidRPr="00EC4831" w:rsidTr="00EC483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</w:t>
            </w:r>
          </w:p>
        </w:tc>
      </w:tr>
      <w:tr w:rsidR="00EC4831" w:rsidRPr="00EC4831" w:rsidTr="00EC4831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47"/>
      <w:bookmarkEnd w:id="8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Трудовая функция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12"/>
        <w:gridCol w:w="3430"/>
        <w:gridCol w:w="699"/>
        <w:gridCol w:w="1078"/>
        <w:gridCol w:w="2030"/>
        <w:gridCol w:w="686"/>
      </w:tblGrid>
      <w:tr w:rsidR="00EC4831" w:rsidRPr="00EC4831" w:rsidTr="00EC4831"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30"/>
        <w:gridCol w:w="1484"/>
        <w:gridCol w:w="630"/>
        <w:gridCol w:w="1959"/>
        <w:gridCol w:w="1442"/>
        <w:gridCol w:w="1876"/>
      </w:tblGrid>
      <w:tr w:rsidR="00EC4831" w:rsidRPr="00EC4831" w:rsidTr="00EC4831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831" w:rsidRPr="00EC4831" w:rsidTr="00EC4831">
        <w:tc>
          <w:tcPr>
            <w:tcW w:w="630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62"/>
        <w:gridCol w:w="7259"/>
      </w:tblGrid>
      <w:tr w:rsidR="00EC4831" w:rsidRPr="00EC4831" w:rsidTr="00EC4831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поведения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безопасной образовательной среды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воспитательных возможностей различных видов деятельности ребенка (учебной, игровой, трудовой, спортивной,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и т.д.)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EC4831" w:rsidRPr="00EC4831" w:rsidTr="00EC4831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EC4831" w:rsidRPr="00EC4831" w:rsidTr="00EC4831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теория, закономерности и принципы построения и функционирования образовательных (педагогических) систем, роль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место образования в жизни личности и общества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возможные девиации, приемы их диагностики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EC4831" w:rsidRPr="00EC4831" w:rsidTr="00EC483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EC4831" w:rsidRPr="00EC4831" w:rsidTr="00EC4831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300"/>
      <w:bookmarkEnd w:id="9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Трудовая функция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12"/>
        <w:gridCol w:w="3430"/>
        <w:gridCol w:w="713"/>
        <w:gridCol w:w="1064"/>
        <w:gridCol w:w="2016"/>
        <w:gridCol w:w="670"/>
      </w:tblGrid>
      <w:tr w:rsidR="00EC4831" w:rsidRPr="00EC4831" w:rsidTr="00EC4831"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30"/>
        <w:gridCol w:w="1484"/>
        <w:gridCol w:w="630"/>
        <w:gridCol w:w="1973"/>
        <w:gridCol w:w="1442"/>
        <w:gridCol w:w="1876"/>
      </w:tblGrid>
      <w:tr w:rsidR="00EC4831" w:rsidRPr="00EC4831" w:rsidTr="00EC4831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831" w:rsidRPr="00EC4831" w:rsidTr="00EC4831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63"/>
        <w:gridCol w:w="7272"/>
      </w:tblGrid>
      <w:tr w:rsidR="00EC4831" w:rsidRPr="00EC4831" w:rsidTr="00EC4831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аутисты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адресной помощи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другими специалистами в рамках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психолого-медико-педагогического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консилиума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C4831" w:rsidRPr="00EC4831" w:rsidTr="00EC4831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развивающий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детско-взрослые сообщества</w:t>
            </w:r>
          </w:p>
        </w:tc>
      </w:tr>
      <w:tr w:rsidR="00EC4831" w:rsidRPr="00EC4831" w:rsidTr="00EC4831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EC4831" w:rsidRPr="00EC4831" w:rsidTr="00EC483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EC4831" w:rsidRPr="00EC4831" w:rsidTr="00EC483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352"/>
      <w:bookmarkEnd w:id="10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Обобщенная трудовая функция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28"/>
        <w:gridCol w:w="4203"/>
        <w:gridCol w:w="671"/>
        <w:gridCol w:w="648"/>
        <w:gridCol w:w="1714"/>
        <w:gridCol w:w="675"/>
      </w:tblGrid>
      <w:tr w:rsidR="00EC4831" w:rsidRPr="00EC4831" w:rsidTr="00EC4831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30"/>
        <w:gridCol w:w="1498"/>
        <w:gridCol w:w="616"/>
        <w:gridCol w:w="1973"/>
        <w:gridCol w:w="1442"/>
        <w:gridCol w:w="1876"/>
      </w:tblGrid>
      <w:tr w:rsidR="00EC4831" w:rsidRPr="00EC4831" w:rsidTr="00EC4831"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831" w:rsidRPr="00EC4831" w:rsidTr="00EC4831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20"/>
        <w:gridCol w:w="7201"/>
      </w:tblGrid>
      <w:tr w:rsidR="00EC4831" w:rsidRPr="00EC4831" w:rsidTr="00EC483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20"/>
        <w:gridCol w:w="7201"/>
      </w:tblGrid>
      <w:tr w:rsidR="00EC4831" w:rsidRPr="00EC4831" w:rsidTr="00EC483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EC4831" w:rsidRPr="00EC4831" w:rsidTr="00EC483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EC4831" w:rsidRPr="00EC4831" w:rsidTr="00EC483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признанные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386"/>
      <w:bookmarkEnd w:id="11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20"/>
        <w:gridCol w:w="1089"/>
        <w:gridCol w:w="6112"/>
      </w:tblGrid>
      <w:tr w:rsidR="00EC4831" w:rsidRPr="00EC4831" w:rsidTr="00EC483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C4831" w:rsidRPr="00EC4831" w:rsidTr="00EC4831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EC4831" w:rsidRPr="00EC4831" w:rsidTr="00EC4831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EC4831" w:rsidRPr="00EC4831" w:rsidTr="00EC4831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EC4831" w:rsidRPr="00EC4831" w:rsidTr="00EC4831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EC4831" w:rsidRPr="00EC4831" w:rsidTr="00EC4831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EC4831" w:rsidRPr="00EC4831" w:rsidTr="00EC483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C4831" w:rsidRPr="00EC4831" w:rsidTr="00EC483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410"/>
      <w:bookmarkEnd w:id="12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Трудовая функция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26"/>
        <w:gridCol w:w="3416"/>
        <w:gridCol w:w="713"/>
        <w:gridCol w:w="1050"/>
        <w:gridCol w:w="2030"/>
        <w:gridCol w:w="686"/>
      </w:tblGrid>
      <w:tr w:rsidR="00EC4831" w:rsidRPr="00EC4831" w:rsidTr="00EC4831"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30"/>
        <w:gridCol w:w="1484"/>
        <w:gridCol w:w="630"/>
        <w:gridCol w:w="1973"/>
        <w:gridCol w:w="1442"/>
        <w:gridCol w:w="1876"/>
      </w:tblGrid>
      <w:tr w:rsidR="00EC4831" w:rsidRPr="00EC4831" w:rsidTr="00EC4831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831" w:rsidRPr="00EC4831" w:rsidTr="00EC4831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50"/>
        <w:gridCol w:w="7285"/>
      </w:tblGrid>
      <w:tr w:rsidR="00EC4831" w:rsidRPr="00EC4831" w:rsidTr="00EC4831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планировании и корректировке образовательных задач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конструктивного взаимодействия детей в разных видах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использование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недирективной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EC4831" w:rsidRPr="00EC4831" w:rsidTr="00EC4831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ИКТ-компетентностями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EC4831" w:rsidRPr="00EC4831" w:rsidTr="00EC4831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EC4831" w:rsidRPr="00EC4831" w:rsidTr="00EC483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EC4831" w:rsidRPr="00EC4831" w:rsidTr="00EC4831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460"/>
      <w:bookmarkEnd w:id="13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Трудовая функция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26"/>
        <w:gridCol w:w="3416"/>
        <w:gridCol w:w="699"/>
        <w:gridCol w:w="1078"/>
        <w:gridCol w:w="2030"/>
        <w:gridCol w:w="686"/>
      </w:tblGrid>
      <w:tr w:rsidR="00EC4831" w:rsidRPr="00EC4831" w:rsidTr="00EC4831"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30"/>
        <w:gridCol w:w="1484"/>
        <w:gridCol w:w="630"/>
        <w:gridCol w:w="1973"/>
        <w:gridCol w:w="1442"/>
        <w:gridCol w:w="1876"/>
      </w:tblGrid>
      <w:tr w:rsidR="00EC4831" w:rsidRPr="00EC4831" w:rsidTr="00EC4831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831" w:rsidRPr="00EC4831" w:rsidTr="00EC4831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80"/>
        <w:gridCol w:w="7241"/>
      </w:tblGrid>
      <w:tr w:rsidR="00EC4831" w:rsidRPr="00EC4831" w:rsidTr="00EC4831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к учебной</w:t>
            </w:r>
          </w:p>
        </w:tc>
      </w:tr>
      <w:tr w:rsidR="00EC4831" w:rsidRPr="00EC4831" w:rsidTr="00EC483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социальной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всем протяжении обучения в начальной школе</w:t>
            </w:r>
          </w:p>
        </w:tc>
      </w:tr>
      <w:tr w:rsidR="00EC4831" w:rsidRPr="00EC4831" w:rsidTr="00EC483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EC4831" w:rsidRPr="00EC4831" w:rsidTr="00EC483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Объективная оценка успехов и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учетом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EC4831" w:rsidRPr="00EC4831" w:rsidTr="00EC483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EC4831" w:rsidRPr="00EC4831" w:rsidTr="00EC483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EC4831" w:rsidRPr="00EC4831" w:rsidTr="00EC483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EC4831" w:rsidRPr="00EC4831" w:rsidTr="00EC4831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EC4831" w:rsidRPr="00EC4831" w:rsidTr="00EC483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их содержания</w:t>
            </w:r>
          </w:p>
        </w:tc>
      </w:tr>
      <w:tr w:rsidR="00EC4831" w:rsidRPr="00EC4831" w:rsidTr="00EC483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родителями (законными представителями),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EC4831" w:rsidRPr="00EC4831" w:rsidTr="00EC4831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EC4831" w:rsidRPr="00EC4831" w:rsidTr="00EC483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EC4831" w:rsidRPr="00EC4831" w:rsidTr="00EC483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EC4831" w:rsidRPr="00EC4831" w:rsidTr="00EC483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EC4831" w:rsidRPr="00EC4831" w:rsidTr="00EC483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EC4831" w:rsidRPr="00EC4831" w:rsidTr="00EC483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500"/>
      <w:bookmarkEnd w:id="14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Трудовая функция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12"/>
        <w:gridCol w:w="3430"/>
        <w:gridCol w:w="713"/>
        <w:gridCol w:w="1064"/>
        <w:gridCol w:w="2030"/>
        <w:gridCol w:w="672"/>
      </w:tblGrid>
      <w:tr w:rsidR="00EC4831" w:rsidRPr="00EC4831" w:rsidTr="00EC4831"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30"/>
        <w:gridCol w:w="1484"/>
        <w:gridCol w:w="630"/>
        <w:gridCol w:w="1973"/>
        <w:gridCol w:w="1442"/>
        <w:gridCol w:w="1876"/>
      </w:tblGrid>
      <w:tr w:rsidR="00EC4831" w:rsidRPr="00EC4831" w:rsidTr="00EC4831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831" w:rsidRPr="00EC4831" w:rsidTr="00EC4831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75"/>
        <w:gridCol w:w="7246"/>
      </w:tblGrid>
      <w:tr w:rsidR="00EC4831" w:rsidRPr="00EC4831" w:rsidTr="00EC4831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специализированного образовательного процесса для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EC4831" w:rsidRPr="00EC4831" w:rsidTr="00EC4831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самостоятельную деятельность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исследовательскую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события современности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EC4831" w:rsidRPr="00EC4831" w:rsidTr="00EC4831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учебники по преподаваемому предмету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экологии, экономики, социологии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</w:t>
            </w:r>
          </w:p>
        </w:tc>
      </w:tr>
      <w:tr w:rsidR="00EC4831" w:rsidRPr="00EC4831" w:rsidTr="00EC483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EC4831" w:rsidRPr="00EC4831" w:rsidTr="00EC483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правовых, нравственных и этических норм, требований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этики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553"/>
      <w:bookmarkEnd w:id="15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Трудовая функция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26"/>
        <w:gridCol w:w="3416"/>
        <w:gridCol w:w="713"/>
        <w:gridCol w:w="1064"/>
        <w:gridCol w:w="2030"/>
        <w:gridCol w:w="700"/>
      </w:tblGrid>
      <w:tr w:rsidR="00EC4831" w:rsidRPr="00EC4831" w:rsidTr="00EC4831"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30"/>
        <w:gridCol w:w="1484"/>
        <w:gridCol w:w="630"/>
        <w:gridCol w:w="1973"/>
        <w:gridCol w:w="1442"/>
        <w:gridCol w:w="1876"/>
      </w:tblGrid>
      <w:tr w:rsidR="00EC4831" w:rsidRPr="00EC4831" w:rsidTr="00EC4831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831" w:rsidRPr="00EC4831" w:rsidTr="00EC4831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55"/>
        <w:gridCol w:w="7280"/>
      </w:tblGrid>
      <w:tr w:rsidR="00EC4831" w:rsidRPr="00EC4831" w:rsidTr="00EC4831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к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логическому рассуждению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инициативы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математики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поддержание высокой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формированию у обучающихся позитивных эмоций от математической деятельности, в том числе от нахождения ошибки в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построениях как источника улучшения и нового понимания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совместно с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недостоверных и малоправдоподобных данных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диалога с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EC4831" w:rsidRPr="00EC4831" w:rsidTr="00EC4831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баланс между самостоятельным открытием,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математическими компьютерными инструментами: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визуализации данных, зависимостей, отношений, процессов, геометрических объектов;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 - численных и символьных;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данных (статистики);</w:t>
            </w:r>
          </w:p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экспериментальных лабораторий (вероятность, информатика)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набирать математический текст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помощь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родителями (законными представителями), местным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сообществом по проблематике математической культуры</w:t>
            </w:r>
          </w:p>
        </w:tc>
      </w:tr>
      <w:tr w:rsidR="00EC4831" w:rsidRPr="00EC4831" w:rsidTr="00EC4831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математических элементов этих приложений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математики</w:t>
            </w:r>
          </w:p>
        </w:tc>
      </w:tr>
      <w:tr w:rsidR="00EC4831" w:rsidRPr="00EC4831" w:rsidTr="00EC483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EC4831" w:rsidRPr="00EC4831" w:rsidTr="00EC483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625"/>
      <w:bookmarkEnd w:id="16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Трудовая функция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25"/>
        <w:gridCol w:w="3454"/>
        <w:gridCol w:w="704"/>
        <w:gridCol w:w="1086"/>
        <w:gridCol w:w="2044"/>
        <w:gridCol w:w="626"/>
      </w:tblGrid>
      <w:tr w:rsidR="00EC4831" w:rsidRPr="00EC4831" w:rsidTr="00EC4831"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30"/>
        <w:gridCol w:w="1484"/>
        <w:gridCol w:w="630"/>
        <w:gridCol w:w="1973"/>
        <w:gridCol w:w="1442"/>
        <w:gridCol w:w="1876"/>
      </w:tblGrid>
      <w:tr w:rsidR="00EC4831" w:rsidRPr="00EC4831" w:rsidTr="00EC4831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831" w:rsidRPr="00EC4831" w:rsidTr="00EC4831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36"/>
        <w:gridCol w:w="7299"/>
      </w:tblGrid>
      <w:tr w:rsidR="00EC4831" w:rsidRPr="00EC4831" w:rsidTr="00EC4831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совместно с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интернет-форумы</w:t>
            </w:r>
            <w:proofErr w:type="spellEnd"/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интернет-конференции</w:t>
            </w:r>
            <w:proofErr w:type="spellEnd"/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установки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сообщений обучающихся о событии или объекте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видеопродуктов</w:t>
            </w:r>
            <w:proofErr w:type="spellEnd"/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EC4831" w:rsidRPr="00EC4831" w:rsidTr="00EC4831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постоянную работу с семьями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позитивное отношение к родным языкам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интернет-языка</w:t>
            </w:r>
            <w:proofErr w:type="spellEnd"/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языка субкультур, языка СМИ, ненормативной лексики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EC4831" w:rsidRPr="00EC4831" w:rsidTr="00EC4831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лингвистических элементов этих приложений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русского языка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Контекстная языковая норма</w:t>
            </w:r>
          </w:p>
        </w:tc>
      </w:tr>
      <w:tr w:rsidR="00EC4831" w:rsidRPr="00EC4831" w:rsidTr="00EC483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Стандартное общерусское произношение и лексика, их отличия от </w:t>
            </w: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местной языковой среды</w:t>
            </w:r>
          </w:p>
        </w:tc>
      </w:tr>
      <w:tr w:rsidR="00EC4831" w:rsidRPr="00EC4831" w:rsidTr="00EC483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675"/>
      <w:bookmarkEnd w:id="17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Сведения об организациях - разработчиках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стандарта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678"/>
      <w:bookmarkEnd w:id="18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Ответственная организация-разработчик</w:t>
      </w: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Государственное бюджетное образовательное учреждение </w:t>
      </w:r>
      <w:proofErr w:type="gramStart"/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высшего</w:t>
      </w:r>
      <w:proofErr w:type="gramEnd"/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│ профессионального образования города Москвы "</w:t>
      </w:r>
      <w:proofErr w:type="gramStart"/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Московский</w:t>
      </w:r>
      <w:proofErr w:type="gramEnd"/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городской │</w:t>
      </w: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│ психолого-педагогический университет" │</w:t>
      </w: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│ Ректор Рубцов Виталий Владимирович │</w:t>
      </w:r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EC4831" w:rsidRPr="00EC4831" w:rsidRDefault="00EC4831" w:rsidP="00EC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83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689"/>
      <w:bookmarkEnd w:id="19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3"/>
        <w:gridCol w:w="9128"/>
      </w:tblGrid>
      <w:tr w:rsidR="00EC4831" w:rsidRPr="00EC4831" w:rsidTr="00EC483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831" w:rsidRPr="00EC4831" w:rsidRDefault="00EC4831" w:rsidP="00EC4831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695"/>
      <w:bookmarkEnd w:id="20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Общероссийский классификатор занятий.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696"/>
      <w:bookmarkEnd w:id="21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Общероссийский классификатор видов экономической деятельности.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697"/>
      <w:bookmarkEnd w:id="22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Приказ </w:t>
      </w:r>
      <w:proofErr w:type="spellStart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EC4831" w:rsidRPr="00EC4831" w:rsidRDefault="00EC4831" w:rsidP="00EC483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698"/>
      <w:bookmarkEnd w:id="23"/>
      <w:r w:rsidRPr="00EC4831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Общероссийский классификатор специальностей по образованию.</w:t>
      </w:r>
    </w:p>
    <w:p w:rsidR="004777AC" w:rsidRDefault="004777AC"/>
    <w:sectPr w:rsidR="004777AC" w:rsidSect="00333A26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</w:footnotePr>
  <w:endnotePr>
    <w:numFmt w:val="decimal"/>
  </w:endnotePr>
  <w:compat/>
  <w:rsids>
    <w:rsidRoot w:val="00EC4831"/>
    <w:rsid w:val="002C7525"/>
    <w:rsid w:val="00333A26"/>
    <w:rsid w:val="004777AC"/>
    <w:rsid w:val="00645A03"/>
    <w:rsid w:val="008E238E"/>
    <w:rsid w:val="009E1D66"/>
    <w:rsid w:val="00AB1F0A"/>
    <w:rsid w:val="00DE71C2"/>
    <w:rsid w:val="00E1780B"/>
    <w:rsid w:val="00EC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0B"/>
  </w:style>
  <w:style w:type="paragraph" w:styleId="1">
    <w:name w:val="heading 1"/>
    <w:basedOn w:val="a"/>
    <w:next w:val="a"/>
    <w:link w:val="10"/>
    <w:uiPriority w:val="99"/>
    <w:qFormat/>
    <w:rsid w:val="00EC4831"/>
    <w:pPr>
      <w:widowControl w:val="0"/>
      <w:adjustRightInd w:val="0"/>
      <w:spacing w:before="480" w:after="0"/>
      <w:contextualSpacing/>
      <w:jc w:val="both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4831"/>
    <w:pPr>
      <w:widowControl w:val="0"/>
      <w:adjustRightInd w:val="0"/>
      <w:spacing w:before="200" w:after="0"/>
      <w:jc w:val="both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4831"/>
    <w:pPr>
      <w:widowControl w:val="0"/>
      <w:adjustRightInd w:val="0"/>
      <w:spacing w:before="200" w:after="0" w:line="268" w:lineRule="auto"/>
      <w:jc w:val="both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4831"/>
    <w:pPr>
      <w:widowControl w:val="0"/>
      <w:adjustRightInd w:val="0"/>
      <w:spacing w:before="200" w:after="0"/>
      <w:jc w:val="both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C4831"/>
    <w:pPr>
      <w:widowControl w:val="0"/>
      <w:adjustRightInd w:val="0"/>
      <w:spacing w:before="200" w:after="0"/>
      <w:jc w:val="both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C4831"/>
    <w:pPr>
      <w:widowControl w:val="0"/>
      <w:adjustRightInd w:val="0"/>
      <w:spacing w:after="0" w:line="268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C4831"/>
    <w:pPr>
      <w:widowControl w:val="0"/>
      <w:adjustRightInd w:val="0"/>
      <w:spacing w:after="0"/>
      <w:jc w:val="both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C4831"/>
    <w:pPr>
      <w:widowControl w:val="0"/>
      <w:adjustRightInd w:val="0"/>
      <w:spacing w:after="0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C4831"/>
    <w:pPr>
      <w:widowControl w:val="0"/>
      <w:adjustRightInd w:val="0"/>
      <w:spacing w:after="0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83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C48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C4831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C4831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C4831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EC4831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C4831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C483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C4831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a3">
    <w:name w:val="Emphasis"/>
    <w:uiPriority w:val="99"/>
    <w:qFormat/>
    <w:rsid w:val="00EC4831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uiPriority w:val="99"/>
    <w:semiHidden/>
    <w:unhideWhenUsed/>
    <w:rsid w:val="00EC483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4831"/>
    <w:rPr>
      <w:rFonts w:ascii="Courier New" w:eastAsia="Times New Roman" w:hAnsi="Courier New" w:cs="Times New Roman"/>
      <w:sz w:val="20"/>
      <w:szCs w:val="20"/>
    </w:rPr>
  </w:style>
  <w:style w:type="character" w:styleId="a4">
    <w:name w:val="Strong"/>
    <w:uiPriority w:val="99"/>
    <w:qFormat/>
    <w:rsid w:val="00EC4831"/>
    <w:rPr>
      <w:rFonts w:ascii="Times New Roman" w:hAnsi="Times New Roman" w:cs="Times New Roman" w:hint="default"/>
      <w:b/>
      <w:bCs w:val="0"/>
    </w:rPr>
  </w:style>
  <w:style w:type="paragraph" w:styleId="a5">
    <w:name w:val="footnote text"/>
    <w:basedOn w:val="a"/>
    <w:link w:val="a6"/>
    <w:uiPriority w:val="99"/>
    <w:semiHidden/>
    <w:unhideWhenUsed/>
    <w:rsid w:val="00EC4831"/>
    <w:pPr>
      <w:widowControl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4831"/>
    <w:rPr>
      <w:rFonts w:ascii="Calibri" w:eastAsia="Times New Roman" w:hAnsi="Calibri" w:cs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EC4831"/>
    <w:pPr>
      <w:widowControl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4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4831"/>
    <w:pPr>
      <w:widowControl w:val="0"/>
      <w:tabs>
        <w:tab w:val="center" w:pos="4677"/>
        <w:tab w:val="right" w:pos="9355"/>
      </w:tabs>
      <w:adjustRightInd w:val="0"/>
      <w:spacing w:after="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C483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EC4831"/>
    <w:pPr>
      <w:widowControl w:val="0"/>
      <w:tabs>
        <w:tab w:val="center" w:pos="4677"/>
        <w:tab w:val="right" w:pos="9355"/>
      </w:tabs>
      <w:adjustRightInd w:val="0"/>
      <w:spacing w:after="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C4831"/>
    <w:rPr>
      <w:rFonts w:ascii="Calibri" w:eastAsia="Times New Roman" w:hAnsi="Calibri" w:cs="Times New Roman"/>
      <w:sz w:val="20"/>
      <w:szCs w:val="20"/>
    </w:rPr>
  </w:style>
  <w:style w:type="paragraph" w:styleId="ad">
    <w:name w:val="caption"/>
    <w:basedOn w:val="a"/>
    <w:next w:val="a"/>
    <w:uiPriority w:val="99"/>
    <w:qFormat/>
    <w:rsid w:val="00EC4831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EC4831"/>
    <w:pPr>
      <w:widowControl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C4831"/>
    <w:rPr>
      <w:rFonts w:ascii="Calibri" w:eastAsia="Times New Roman" w:hAnsi="Calibri" w:cs="Times New Roman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EC4831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C4831"/>
    <w:rPr>
      <w:rFonts w:ascii="Cambria" w:eastAsia="Times New Roman" w:hAnsi="Cambria" w:cs="Times New Roman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EC4831"/>
    <w:pPr>
      <w:widowControl w:val="0"/>
      <w:adjustRightInd w:val="0"/>
      <w:spacing w:after="600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EC4831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C4831"/>
    <w:pPr>
      <w:widowControl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4831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EC4831"/>
    <w:rPr>
      <w:rFonts w:ascii="Calibri" w:hAnsi="Calibri"/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EC4831"/>
    <w:rPr>
      <w:rFonts w:ascii="Calibri" w:hAnsi="Calibri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EC4831"/>
    <w:pPr>
      <w:widowControl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C4831"/>
    <w:rPr>
      <w:rFonts w:ascii="Tahoma" w:eastAsia="Times New Roman" w:hAnsi="Tahoma" w:cs="Times New Roman"/>
      <w:sz w:val="16"/>
      <w:szCs w:val="16"/>
    </w:rPr>
  </w:style>
  <w:style w:type="paragraph" w:styleId="af8">
    <w:name w:val="No Spacing"/>
    <w:basedOn w:val="a"/>
    <w:uiPriority w:val="1"/>
    <w:qFormat/>
    <w:rsid w:val="00EC4831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9">
    <w:name w:val="List Paragraph"/>
    <w:basedOn w:val="a"/>
    <w:uiPriority w:val="34"/>
    <w:qFormat/>
    <w:rsid w:val="00EC4831"/>
    <w:pPr>
      <w:widowControl w:val="0"/>
      <w:adjustRightInd w:val="0"/>
      <w:spacing w:after="0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">
    <w:name w:val="Без интервала1"/>
    <w:basedOn w:val="a"/>
    <w:uiPriority w:val="99"/>
    <w:rsid w:val="00EC4831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uiPriority w:val="99"/>
    <w:rsid w:val="00EC4831"/>
    <w:pPr>
      <w:widowControl w:val="0"/>
      <w:adjustRightInd w:val="0"/>
      <w:spacing w:after="0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QuoteChar">
    <w:name w:val="Quote Char"/>
    <w:link w:val="21"/>
    <w:uiPriority w:val="99"/>
    <w:locked/>
    <w:rsid w:val="00EC4831"/>
    <w:rPr>
      <w:rFonts w:ascii="Times New Roman" w:hAnsi="Times New Roman" w:cs="Times New Roman"/>
      <w:i/>
      <w:iCs/>
    </w:rPr>
  </w:style>
  <w:style w:type="paragraph" w:customStyle="1" w:styleId="21">
    <w:name w:val="Цитата 21"/>
    <w:basedOn w:val="a"/>
    <w:next w:val="a"/>
    <w:link w:val="QuoteChar"/>
    <w:uiPriority w:val="99"/>
    <w:rsid w:val="00EC4831"/>
    <w:pPr>
      <w:widowControl w:val="0"/>
      <w:adjustRightInd w:val="0"/>
      <w:spacing w:before="200" w:after="0"/>
      <w:ind w:left="360" w:right="360"/>
      <w:jc w:val="both"/>
    </w:pPr>
    <w:rPr>
      <w:rFonts w:ascii="Times New Roman" w:hAnsi="Times New Roman" w:cs="Times New Roman"/>
      <w:i/>
      <w:iCs/>
    </w:rPr>
  </w:style>
  <w:style w:type="character" w:customStyle="1" w:styleId="IntenseQuoteChar">
    <w:name w:val="Intense Quote Char"/>
    <w:link w:val="13"/>
    <w:uiPriority w:val="99"/>
    <w:locked/>
    <w:rsid w:val="00EC4831"/>
    <w:rPr>
      <w:rFonts w:ascii="Times New Roman" w:hAnsi="Times New Roman" w:cs="Times New Roman"/>
      <w:b/>
      <w:bCs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C4831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14">
    <w:name w:val="Заголовок оглавления1"/>
    <w:basedOn w:val="1"/>
    <w:next w:val="a"/>
    <w:uiPriority w:val="99"/>
    <w:rsid w:val="00EC4831"/>
    <w:pPr>
      <w:outlineLvl w:val="9"/>
    </w:pPr>
  </w:style>
  <w:style w:type="paragraph" w:customStyle="1" w:styleId="ConsPlusNormal">
    <w:name w:val="ConsPlusNormal"/>
    <w:uiPriority w:val="99"/>
    <w:rsid w:val="00EC4831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4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EC4831"/>
    <w:rPr>
      <w:rFonts w:ascii="Times New Roman" w:hAnsi="Times New Roman" w:cs="Times New Roman" w:hint="default"/>
      <w:vertAlign w:val="superscript"/>
    </w:rPr>
  </w:style>
  <w:style w:type="character" w:styleId="afb">
    <w:name w:val="annotation reference"/>
    <w:uiPriority w:val="99"/>
    <w:semiHidden/>
    <w:unhideWhenUsed/>
    <w:rsid w:val="00EC4831"/>
    <w:rPr>
      <w:sz w:val="16"/>
      <w:szCs w:val="16"/>
    </w:rPr>
  </w:style>
  <w:style w:type="character" w:styleId="afc">
    <w:name w:val="page number"/>
    <w:uiPriority w:val="99"/>
    <w:semiHidden/>
    <w:unhideWhenUsed/>
    <w:rsid w:val="00EC4831"/>
    <w:rPr>
      <w:rFonts w:ascii="Times New Roman" w:hAnsi="Times New Roman" w:cs="Times New Roman" w:hint="default"/>
    </w:rPr>
  </w:style>
  <w:style w:type="character" w:styleId="afd">
    <w:name w:val="endnote reference"/>
    <w:uiPriority w:val="99"/>
    <w:semiHidden/>
    <w:unhideWhenUsed/>
    <w:rsid w:val="00EC4831"/>
    <w:rPr>
      <w:rFonts w:ascii="Times New Roman" w:hAnsi="Times New Roman" w:cs="Times New Roman" w:hint="default"/>
      <w:vertAlign w:val="superscript"/>
    </w:rPr>
  </w:style>
  <w:style w:type="character" w:customStyle="1" w:styleId="15">
    <w:name w:val="Слабое выделение1"/>
    <w:uiPriority w:val="99"/>
    <w:rsid w:val="00EC4831"/>
    <w:rPr>
      <w:rFonts w:ascii="Times New Roman" w:hAnsi="Times New Roman" w:cs="Times New Roman" w:hint="default"/>
      <w:i/>
      <w:iCs w:val="0"/>
    </w:rPr>
  </w:style>
  <w:style w:type="character" w:customStyle="1" w:styleId="16">
    <w:name w:val="Сильное выделение1"/>
    <w:uiPriority w:val="99"/>
    <w:rsid w:val="00EC4831"/>
    <w:rPr>
      <w:rFonts w:ascii="Times New Roman" w:hAnsi="Times New Roman" w:cs="Times New Roman" w:hint="default"/>
      <w:b/>
      <w:bCs w:val="0"/>
    </w:rPr>
  </w:style>
  <w:style w:type="character" w:customStyle="1" w:styleId="17">
    <w:name w:val="Слабая ссылка1"/>
    <w:uiPriority w:val="99"/>
    <w:rsid w:val="00EC4831"/>
    <w:rPr>
      <w:rFonts w:ascii="Times New Roman" w:hAnsi="Times New Roman" w:cs="Times New Roman" w:hint="default"/>
      <w:smallCaps/>
    </w:rPr>
  </w:style>
  <w:style w:type="character" w:customStyle="1" w:styleId="18">
    <w:name w:val="Сильная ссылка1"/>
    <w:uiPriority w:val="99"/>
    <w:rsid w:val="00EC4831"/>
    <w:rPr>
      <w:rFonts w:ascii="Times New Roman" w:hAnsi="Times New Roman" w:cs="Times New Roman" w:hint="default"/>
      <w:smallCaps/>
      <w:spacing w:val="5"/>
      <w:u w:val="single"/>
    </w:rPr>
  </w:style>
  <w:style w:type="character" w:customStyle="1" w:styleId="19">
    <w:name w:val="Название книги1"/>
    <w:uiPriority w:val="99"/>
    <w:rsid w:val="00EC4831"/>
    <w:rPr>
      <w:rFonts w:ascii="Times New Roman" w:hAnsi="Times New Roman" w:cs="Times New Roman" w:hint="default"/>
      <w:i/>
      <w:iCs w:val="0"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6855</Words>
  <Characters>39074</Characters>
  <Application>Microsoft Office Word</Application>
  <DocSecurity>0</DocSecurity>
  <Lines>325</Lines>
  <Paragraphs>91</Paragraphs>
  <ScaleCrop>false</ScaleCrop>
  <Company>Hewlett-Packard</Company>
  <LinksUpToDate>false</LinksUpToDate>
  <CharactersWithSpaces>45838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</cp:lastModifiedBy>
  <cp:revision>2</cp:revision>
  <dcterms:created xsi:type="dcterms:W3CDTF">2016-03-31T06:52:00Z</dcterms:created>
  <dcterms:modified xsi:type="dcterms:W3CDTF">2016-04-05T06:57:00Z</dcterms:modified>
</cp:coreProperties>
</file>